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5330E" w:rsidRPr="00E12B05">
        <w:rPr>
          <w:rFonts w:ascii="Times New Roman" w:hAnsi="Times New Roman" w:cs="Times New Roman"/>
          <w:b/>
          <w:bCs/>
          <w:sz w:val="24"/>
          <w:szCs w:val="28"/>
        </w:rPr>
        <w:t xml:space="preserve">И </w:t>
      </w:r>
      <w:r w:rsidR="0099199B" w:rsidRPr="00E12B05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E12B05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ПУНКТА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11 ПОСТАНОВЛЕНИЯ ПРАВИТЕЛЬСТВА РФ ОТ 29.10.2010 N 872)</w:t>
      </w:r>
    </w:p>
    <w:p w:rsidR="007F5F49" w:rsidRPr="007F5F49" w:rsidRDefault="007F5F49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C712DF" w:rsidRDefault="007F5F49" w:rsidP="007F5F49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bookmarkStart w:id="0" w:name="OLE_LINK3"/>
      <w:bookmarkStart w:id="1" w:name="OLE_LINK4"/>
      <w:bookmarkStart w:id="2" w:name="OLE_LINK5"/>
      <w:bookmarkStart w:id="3" w:name="OLE_LINK6"/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Плата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технологическое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присоединение</w:t>
      </w:r>
      <w:proofErr w:type="spellEnd"/>
    </w:p>
    <w:bookmarkEnd w:id="0"/>
    <w:bookmarkEnd w:id="1"/>
    <w:bookmarkEnd w:id="2"/>
    <w:bookmarkEnd w:id="3"/>
    <w:p w:rsidR="007F5F49" w:rsidRPr="007F5F49" w:rsidRDefault="007F5F49" w:rsidP="007F5F49">
      <w:pPr>
        <w:pStyle w:val="a3"/>
        <w:autoSpaceDE w:val="0"/>
        <w:autoSpaceDN w:val="0"/>
        <w:adjustRightInd w:val="0"/>
        <w:spacing w:line="240" w:lineRule="auto"/>
        <w:ind w:left="1260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 xml:space="preserve">и Башкортостан, осуществляемое 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0462C6" w:rsidRPr="00341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5E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измеряемое по прямой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линии, </w:t>
            </w:r>
            <w:proofErr w:type="gramStart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не более 200 метров и сами мероприятия предполагают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0462C6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,56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0462C6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</w:t>
            </w:r>
          </w:p>
        </w:tc>
        <w:tc>
          <w:tcPr>
            <w:tcW w:w="2552" w:type="dxa"/>
            <w:vAlign w:val="center"/>
          </w:tcPr>
          <w:p w:rsidR="0084742D" w:rsidRPr="000462C6" w:rsidRDefault="008F19D2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0,3 МПа, измеряемое по прямой линии, </w:t>
            </w:r>
            <w:proofErr w:type="gramStart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составляет не более 200 метров и сами мероприятия предполагают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   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462C6" w:rsidRPr="000462C6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 </w:t>
            </w:r>
            <w:r w:rsidR="000462C6">
              <w:rPr>
                <w:rFonts w:ascii="Times New Roman" w:hAnsi="Times New Roman" w:cs="Times New Roman"/>
                <w:sz w:val="24"/>
                <w:szCs w:val="24"/>
              </w:rPr>
              <w:t>24 884,23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1A3299" w:rsidP="0004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2" w:type="dxa"/>
            <w:vAlign w:val="center"/>
          </w:tcPr>
          <w:p w:rsidR="0084742D" w:rsidRPr="000462C6" w:rsidRDefault="001A3299" w:rsidP="00261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1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46193" w:rsidRPr="004219C8" w:rsidRDefault="003206EA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Государственного комитета Республики Башкортостан по тарифам от 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0462C6" w:rsidRP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</w:t>
      </w:r>
      <w:r w:rsid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и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462C6" w:rsidRPr="000462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19C8" w:rsidRDefault="004219C8" w:rsidP="004219C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на </w:t>
      </w:r>
      <w:r w:rsidRPr="00836F75">
        <w:rPr>
          <w:rFonts w:ascii="Times New Roman" w:hAnsi="Times New Roman" w:cs="Times New Roman"/>
          <w:sz w:val="28"/>
        </w:rPr>
        <w:t xml:space="preserve"> </w:t>
      </w:r>
      <w:r w:rsidR="00330FE1"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Башкортостан</w:t>
      </w:r>
      <w:r w:rsidRPr="003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</w:t>
        </w:r>
      </w:hyperlink>
      <w:r w:rsidR="003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F5F49" w:rsidRPr="007F5F49" w:rsidRDefault="007F5F49" w:rsidP="007F5F4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Стандартизированные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ставки</w:t>
      </w:r>
      <w:proofErr w:type="spellEnd"/>
    </w:p>
    <w:p w:rsidR="007F5F49" w:rsidRPr="007F5F49" w:rsidRDefault="007F5F49" w:rsidP="007F5F49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случаев, для которых устанавливается фиксированная плата (I.</w:t>
      </w:r>
      <w:proofErr w:type="gramEnd"/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технологическое присоединение) и установления платы за технологическое присоединение по индивидуальному проекту, плата за подключение рассчитывается на основании установленных стандартизированных ставок по формулам, установленным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</w:t>
      </w:r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указанным в Постановлении Государственного комитета Республики Башкортостан по тарифам, устанавливающим размер стандартизированных</w:t>
      </w:r>
      <w:proofErr w:type="gramEnd"/>
      <w:r w:rsidRPr="007F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ставок.</w:t>
      </w:r>
    </w:p>
    <w:p w:rsidR="00A747F1" w:rsidRDefault="00A747F1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Стандартизированные тарифные ставки, определяющие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газораспределение Уфа»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Постановлением </w:t>
      </w:r>
      <w:r w:rsidRPr="00A747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Башкортостан по тарифам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Башкортостан, осуществляемое 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Уфа», </w:t>
      </w:r>
      <w:r w:rsidR="00C44E2D" w:rsidRPr="00C4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1 января и 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201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</w:rPr>
        <w:t>Решени</w:t>
      </w:r>
      <w:r w:rsidR="0056602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№ 8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41652" w:rsidRPr="003416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6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размещено на </w:t>
      </w:r>
      <w:r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</w:t>
      </w:r>
      <w:r w:rsidRPr="002727BC">
        <w:rPr>
          <w:rFonts w:ascii="Times New Roman" w:hAnsi="Times New Roman" w:cs="Times New Roman"/>
          <w:sz w:val="28"/>
        </w:rPr>
        <w:t>н</w:t>
      </w:r>
      <w:r w:rsidRPr="002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http://www.npa.bashkorto</w:t>
        </w:r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tan.ru</w:t>
        </w:r>
      </w:hyperlink>
      <w:r w:rsidRPr="00272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2B05" w:rsidRDefault="00B4589A" w:rsidP="00B4589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7233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в области государственного регулирования тарифов при поступлении соответствующих заявок от ГРО утверждается плата за технологическое присоединение газоиспользующего оборудования с максимальным расходом газа свыше 500 куб. метров газа в час и (или) проектным рабочим давлением в присоединяемом газопроводе свыше 0,6 МПа, а также в случаях, если лицо, подавшее заявку на подключение (технологическое присоединение), письменно подтверждает</w:t>
      </w:r>
      <w:proofErr w:type="gramEnd"/>
      <w:r w:rsidRPr="006C7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233">
        <w:rPr>
          <w:rFonts w:ascii="Times New Roman" w:hAnsi="Times New Roman" w:cs="Times New Roman"/>
          <w:sz w:val="28"/>
          <w:szCs w:val="28"/>
        </w:rPr>
        <w:t xml:space="preserve">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ГРО, исходя из стоимости мероприятий по технологическому присоединению, определенной по </w:t>
      </w:r>
      <w:bookmarkStart w:id="4" w:name="_GoBack"/>
      <w:r w:rsidRPr="006C7233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r w:rsidRPr="006C723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C7233">
        <w:rPr>
          <w:rFonts w:ascii="Times New Roman" w:hAnsi="Times New Roman" w:cs="Times New Roman"/>
          <w:sz w:val="28"/>
          <w:szCs w:val="28"/>
        </w:rPr>
        <w:t>после его разработки и экспертизы.</w:t>
      </w:r>
      <w:proofErr w:type="gramEnd"/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lastRenderedPageBreak/>
        <w:t xml:space="preserve">Плата за технологическое присоединение газоиспользующего оборудования к сетям газораспределения также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в </w:t>
      </w:r>
      <w:proofErr w:type="gramStart"/>
      <w:r w:rsidRPr="006C723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C7233">
        <w:rPr>
          <w:rFonts w:ascii="Times New Roman" w:hAnsi="Times New Roman" w:cs="Times New Roman"/>
          <w:sz w:val="28"/>
          <w:szCs w:val="28"/>
        </w:rPr>
        <w:t>, если мероприятия по технологическому присоединению предусматривают: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лесоустроительных работ;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проведение врезки в газопроводы диаметром не менее 250 мм под давлением не менее 0,3 МПа;</w:t>
      </w:r>
    </w:p>
    <w:p w:rsidR="006C7233" w:rsidRPr="006C7233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>переходы через водные преграды;</w:t>
      </w:r>
    </w:p>
    <w:p w:rsidR="00B4589A" w:rsidRPr="00B4589A" w:rsidRDefault="006C7233" w:rsidP="006C723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7233">
        <w:rPr>
          <w:rFonts w:ascii="Times New Roman" w:hAnsi="Times New Roman" w:cs="Times New Roman"/>
          <w:sz w:val="28"/>
          <w:szCs w:val="28"/>
        </w:rPr>
        <w:t xml:space="preserve">прокладку газопровода методом горизонтально направленного бурения; прокладку газопровода по болотам 3-го типа, и (или) в скальных </w:t>
      </w:r>
      <w:proofErr w:type="gramStart"/>
      <w:r w:rsidRPr="006C7233">
        <w:rPr>
          <w:rFonts w:ascii="Times New Roman" w:hAnsi="Times New Roman" w:cs="Times New Roman"/>
          <w:sz w:val="28"/>
          <w:szCs w:val="28"/>
        </w:rPr>
        <w:t>породах</w:t>
      </w:r>
      <w:proofErr w:type="gramEnd"/>
      <w:r w:rsidRPr="006C7233">
        <w:rPr>
          <w:rFonts w:ascii="Times New Roman" w:hAnsi="Times New Roman" w:cs="Times New Roman"/>
          <w:sz w:val="28"/>
          <w:szCs w:val="28"/>
        </w:rPr>
        <w:t>, и (или) на землях особо охраняемых природных территорий.</w:t>
      </w: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7C77AE"/>
    <w:multiLevelType w:val="hybridMultilevel"/>
    <w:tmpl w:val="7862D276"/>
    <w:lvl w:ilvl="0" w:tplc="58B44D5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C"/>
    <w:rsid w:val="000309F6"/>
    <w:rsid w:val="000462C6"/>
    <w:rsid w:val="00093E26"/>
    <w:rsid w:val="000E0323"/>
    <w:rsid w:val="000E7EEF"/>
    <w:rsid w:val="00103B61"/>
    <w:rsid w:val="00123CD9"/>
    <w:rsid w:val="00131433"/>
    <w:rsid w:val="001352E5"/>
    <w:rsid w:val="001A3299"/>
    <w:rsid w:val="001E6422"/>
    <w:rsid w:val="002476AC"/>
    <w:rsid w:val="00252516"/>
    <w:rsid w:val="0025302C"/>
    <w:rsid w:val="00261DA5"/>
    <w:rsid w:val="002727BC"/>
    <w:rsid w:val="002966BF"/>
    <w:rsid w:val="00296EFF"/>
    <w:rsid w:val="002F5B96"/>
    <w:rsid w:val="003206EA"/>
    <w:rsid w:val="00322281"/>
    <w:rsid w:val="00330FE1"/>
    <w:rsid w:val="00341652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66027"/>
    <w:rsid w:val="005E0320"/>
    <w:rsid w:val="00614950"/>
    <w:rsid w:val="006149FC"/>
    <w:rsid w:val="00654631"/>
    <w:rsid w:val="00655EAC"/>
    <w:rsid w:val="00673188"/>
    <w:rsid w:val="006C7233"/>
    <w:rsid w:val="006D116E"/>
    <w:rsid w:val="007314A2"/>
    <w:rsid w:val="007D0590"/>
    <w:rsid w:val="007F5F49"/>
    <w:rsid w:val="00826EAA"/>
    <w:rsid w:val="00836F75"/>
    <w:rsid w:val="00845765"/>
    <w:rsid w:val="0084742D"/>
    <w:rsid w:val="00873C1C"/>
    <w:rsid w:val="008D6B41"/>
    <w:rsid w:val="008F19D2"/>
    <w:rsid w:val="009040F4"/>
    <w:rsid w:val="009603FD"/>
    <w:rsid w:val="0099199B"/>
    <w:rsid w:val="00A25FA3"/>
    <w:rsid w:val="00A747F1"/>
    <w:rsid w:val="00A83BFA"/>
    <w:rsid w:val="00AA02C2"/>
    <w:rsid w:val="00AD4AA3"/>
    <w:rsid w:val="00B4589A"/>
    <w:rsid w:val="00B52744"/>
    <w:rsid w:val="00B7797C"/>
    <w:rsid w:val="00BC06FF"/>
    <w:rsid w:val="00C44E2D"/>
    <w:rsid w:val="00C46C9B"/>
    <w:rsid w:val="00C712DF"/>
    <w:rsid w:val="00C84F54"/>
    <w:rsid w:val="00C96BD2"/>
    <w:rsid w:val="00CB59C5"/>
    <w:rsid w:val="00CB6B3E"/>
    <w:rsid w:val="00CF1F92"/>
    <w:rsid w:val="00D33D1F"/>
    <w:rsid w:val="00DF1657"/>
    <w:rsid w:val="00E12B05"/>
    <w:rsid w:val="00EA6FBE"/>
    <w:rsid w:val="00EB1292"/>
    <w:rsid w:val="00EC373F"/>
    <w:rsid w:val="00EE68AA"/>
    <w:rsid w:val="00EF60B2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a.bashkortostan.ru/?show=1&amp;seed=130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a.bashkortostan.ru/?show=1&amp;seed=12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0CC9-556A-4576-B3DB-7DDE0E67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Викторовна</dc:creator>
  <cp:lastModifiedBy>Иванова Ольга Евгеньевна</cp:lastModifiedBy>
  <cp:revision>13</cp:revision>
  <cp:lastPrinted>2015-12-28T09:34:00Z</cp:lastPrinted>
  <dcterms:created xsi:type="dcterms:W3CDTF">2015-12-28T09:12:00Z</dcterms:created>
  <dcterms:modified xsi:type="dcterms:W3CDTF">2018-03-23T05:45:00Z</dcterms:modified>
</cp:coreProperties>
</file>